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07" w:rsidRPr="00F47107" w:rsidRDefault="00F47107" w:rsidP="00F471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lang w:eastAsia="hu-HU"/>
        </w:rPr>
        <w:t>20/2021. (VI. 8.) EMMI rendelet</w:t>
      </w:r>
    </w:p>
    <w:p w:rsidR="00F47107" w:rsidRPr="00F47107" w:rsidRDefault="00F47107" w:rsidP="00F4710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hu-HU"/>
        </w:rPr>
      </w:pPr>
      <w:bookmarkStart w:id="0" w:name="chp1"/>
      <w:bookmarkEnd w:id="0"/>
      <w:proofErr w:type="gramStart"/>
      <w:r w:rsidRPr="00F47107">
        <w:rPr>
          <w:rFonts w:eastAsia="Times New Roman" w:cs="Times New Roman"/>
          <w:b/>
          <w:bCs/>
          <w:lang w:eastAsia="hu-HU"/>
        </w:rPr>
        <w:t>a</w:t>
      </w:r>
      <w:proofErr w:type="gramEnd"/>
      <w:r w:rsidRPr="00F47107">
        <w:rPr>
          <w:rFonts w:eastAsia="Times New Roman" w:cs="Times New Roman"/>
          <w:b/>
          <w:bCs/>
          <w:lang w:eastAsia="hu-HU"/>
        </w:rPr>
        <w:t xml:space="preserve"> 2021/2022. tanév rendjéről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A nemzeti köznevelésről szóló </w:t>
      </w:r>
      <w:r w:rsidRPr="00F47107">
        <w:rPr>
          <w:rFonts w:eastAsia="Times New Roman" w:cs="Times New Roman"/>
          <w:color w:val="0000FF"/>
          <w:u w:val="single"/>
          <w:lang w:eastAsia="hu-HU"/>
        </w:rPr>
        <w:t xml:space="preserve">2011. évi CXC. törvény 94. § (1) bekezdés </w:t>
      </w:r>
      <w:hyperlink r:id="rId4" w:anchor="sidlawrefP(94)B(1)p(a)" w:history="1">
        <w:r w:rsidRPr="00F47107">
          <w:rPr>
            <w:rFonts w:eastAsia="Times New Roman" w:cs="Times New Roman"/>
            <w:i/>
            <w:iCs/>
            <w:color w:val="0000FF"/>
            <w:u w:val="single"/>
            <w:lang w:eastAsia="hu-HU"/>
          </w:rPr>
          <w:t>a)</w:t>
        </w:r>
      </w:hyperlink>
      <w:r w:rsidRPr="00F47107">
        <w:rPr>
          <w:rFonts w:eastAsia="Times New Roman" w:cs="Times New Roman"/>
          <w:lang w:eastAsia="hu-HU"/>
        </w:rPr>
        <w:t xml:space="preserve">, </w:t>
      </w:r>
      <w:hyperlink r:id="rId5" w:anchor="sidlawrefP(94)B(1)p(b)" w:history="1">
        <w:r w:rsidRPr="00F47107">
          <w:rPr>
            <w:rFonts w:eastAsia="Times New Roman" w:cs="Times New Roman"/>
            <w:i/>
            <w:iCs/>
            <w:color w:val="0000FF"/>
            <w:u w:val="single"/>
            <w:lang w:eastAsia="hu-HU"/>
          </w:rPr>
          <w:t>b)</w:t>
        </w:r>
      </w:hyperlink>
      <w:r w:rsidRPr="00F47107">
        <w:rPr>
          <w:rFonts w:eastAsia="Times New Roman" w:cs="Times New Roman"/>
          <w:lang w:eastAsia="hu-HU"/>
        </w:rPr>
        <w:t xml:space="preserve">, </w:t>
      </w:r>
      <w:hyperlink r:id="rId6" w:anchor="sidlawrefP(94)B(1)p(p)" w:history="1">
        <w:r w:rsidRPr="00F47107">
          <w:rPr>
            <w:rFonts w:eastAsia="Times New Roman" w:cs="Times New Roman"/>
            <w:i/>
            <w:iCs/>
            <w:color w:val="0000FF"/>
            <w:u w:val="single"/>
            <w:lang w:eastAsia="hu-HU"/>
          </w:rPr>
          <w:t>p)</w:t>
        </w:r>
      </w:hyperlink>
      <w:r w:rsidRPr="00F47107">
        <w:rPr>
          <w:rFonts w:eastAsia="Times New Roman" w:cs="Times New Roman"/>
          <w:i/>
          <w:iCs/>
          <w:lang w:eastAsia="hu-HU"/>
        </w:rPr>
        <w:t xml:space="preserve"> </w:t>
      </w:r>
      <w:r w:rsidRPr="00F47107">
        <w:rPr>
          <w:rFonts w:eastAsia="Times New Roman" w:cs="Times New Roman"/>
          <w:lang w:eastAsia="hu-HU"/>
        </w:rPr>
        <w:t xml:space="preserve">és </w:t>
      </w:r>
      <w:hyperlink r:id="rId7" w:anchor="sidlawrefP(94)B(1)p(r)" w:history="1">
        <w:r w:rsidRPr="00F47107">
          <w:rPr>
            <w:rFonts w:eastAsia="Times New Roman" w:cs="Times New Roman"/>
            <w:i/>
            <w:iCs/>
            <w:color w:val="0000FF"/>
            <w:u w:val="single"/>
            <w:lang w:eastAsia="hu-HU"/>
          </w:rPr>
          <w:t xml:space="preserve">r) </w:t>
        </w:r>
      </w:hyperlink>
      <w:hyperlink r:id="rId8" w:anchor="sidlawrefP(94)B(1)p(r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pontjában</w:t>
        </w:r>
      </w:hyperlink>
      <w:r w:rsidRPr="00F47107">
        <w:rPr>
          <w:rFonts w:eastAsia="Times New Roman" w:cs="Times New Roman"/>
          <w:lang w:eastAsia="hu-HU"/>
        </w:rPr>
        <w:t xml:space="preserve"> kapott felhatalmazás alapján, a Kormány tagjainak feladat- és hatásköréről szóló </w:t>
      </w:r>
      <w:r w:rsidRPr="00F47107">
        <w:rPr>
          <w:rFonts w:eastAsia="Times New Roman" w:cs="Times New Roman"/>
          <w:color w:val="0000FF"/>
          <w:u w:val="single"/>
          <w:lang w:eastAsia="hu-HU"/>
        </w:rPr>
        <w:t>94/2018. (V. 22.) Korm. rendelet 92. § (1) bekezdés 8. pontjában</w:t>
      </w:r>
      <w:r w:rsidRPr="00F47107">
        <w:rPr>
          <w:rFonts w:eastAsia="Times New Roman" w:cs="Times New Roman"/>
          <w:lang w:eastAsia="hu-HU"/>
        </w:rPr>
        <w:t xml:space="preserve"> meghatározott feladatkörömben eljárva a következőket rendelem el: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1. A rendelet hatálya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" w:name="para1"/>
      <w:bookmarkEnd w:id="1"/>
      <w:r w:rsidRPr="00F47107">
        <w:rPr>
          <w:rFonts w:eastAsia="Times New Roman" w:cs="Times New Roman"/>
          <w:b/>
          <w:bCs/>
          <w:lang w:eastAsia="hu-HU"/>
        </w:rPr>
        <w:t xml:space="preserve">1. § </w:t>
      </w:r>
      <w:r w:rsidRPr="00F47107">
        <w:rPr>
          <w:rFonts w:eastAsia="Times New Roman" w:cs="Times New Roman"/>
          <w:lang w:eastAsia="hu-HU"/>
        </w:rPr>
        <w:t>A rendelet hatálya kiterjed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az iskolákra,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>a kollégiumokra,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c) </w:t>
      </w:r>
      <w:r w:rsidRPr="00F47107">
        <w:rPr>
          <w:rFonts w:eastAsia="Times New Roman" w:cs="Times New Roman"/>
          <w:lang w:eastAsia="hu-HU"/>
        </w:rPr>
        <w:t>a gyógypedagógiai, konduktív pedagógiai nevelési-oktatási intézmények iskoláira és kollégiumaira, továbbá a fejlesztő nevelést-oktatást végző iskolaként működő gyógypedagógiai, konduktív pedagógiai nevelési-oktatási intézményekre,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d) </w:t>
      </w:r>
      <w:r w:rsidRPr="00F47107">
        <w:rPr>
          <w:rFonts w:eastAsia="Times New Roman" w:cs="Times New Roman"/>
          <w:lang w:eastAsia="hu-HU"/>
        </w:rPr>
        <w:t xml:space="preserve">a többcélú köznevelési intézmények iskoláira és kollégiumaira, [a továbbiakban az </w:t>
      </w:r>
      <w:r w:rsidRPr="00F47107">
        <w:rPr>
          <w:rFonts w:eastAsia="Times New Roman" w:cs="Times New Roman"/>
          <w:i/>
          <w:iCs/>
          <w:lang w:eastAsia="hu-HU"/>
        </w:rPr>
        <w:t xml:space="preserve">a)-d) </w:t>
      </w:r>
      <w:r w:rsidRPr="00F47107">
        <w:rPr>
          <w:rFonts w:eastAsia="Times New Roman" w:cs="Times New Roman"/>
          <w:lang w:eastAsia="hu-HU"/>
        </w:rPr>
        <w:t>pont alattiak együtt: nevelési-oktatási intézmény]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lang w:eastAsia="hu-HU"/>
        </w:rPr>
        <w:t>fenntartóra</w:t>
      </w:r>
      <w:proofErr w:type="gramEnd"/>
      <w:r w:rsidRPr="00F47107">
        <w:rPr>
          <w:rFonts w:eastAsia="Times New Roman" w:cs="Times New Roman"/>
          <w:lang w:eastAsia="hu-HU"/>
        </w:rPr>
        <w:t xml:space="preserve"> tekintet nélkül,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e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az Oktatási Hivatalra (a továbbiakban: Hivatal),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f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a fővárosi és megyei kormányhivatalokra, a járási (fővárosi kerületi) hivatalokra,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g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a tankerületi központokra és a Klebelsberg Központra,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h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a tanulókra és az iskolákba jelentkezőkre,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i) </w:t>
      </w:r>
      <w:r w:rsidRPr="00F47107">
        <w:rPr>
          <w:rFonts w:eastAsia="Times New Roman" w:cs="Times New Roman"/>
          <w:lang w:eastAsia="hu-HU"/>
        </w:rPr>
        <w:t>a pedagógusokra,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j) </w:t>
      </w:r>
      <w:r w:rsidRPr="00F47107">
        <w:rPr>
          <w:rFonts w:eastAsia="Times New Roman" w:cs="Times New Roman"/>
          <w:lang w:eastAsia="hu-HU"/>
        </w:rPr>
        <w:t>a nevelő és oktató munkát közvetlenül segítőkre, a műszaki, kisegítő és az egyéb munkakört betöltőkre, valamint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k) </w:t>
      </w:r>
      <w:r w:rsidRPr="00F47107">
        <w:rPr>
          <w:rFonts w:eastAsia="Times New Roman" w:cs="Times New Roman"/>
          <w:lang w:eastAsia="hu-HU"/>
        </w:rPr>
        <w:t>a tanulók és a jelentkezők törvényes képviselőire.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2. A tanév, a tanítási év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2" w:name="para2"/>
      <w:bookmarkEnd w:id="2"/>
      <w:r w:rsidRPr="00F47107">
        <w:rPr>
          <w:rFonts w:eastAsia="Times New Roman" w:cs="Times New Roman"/>
          <w:b/>
          <w:bCs/>
          <w:lang w:eastAsia="hu-HU"/>
        </w:rPr>
        <w:t xml:space="preserve">2. § </w:t>
      </w:r>
      <w:r w:rsidRPr="00F47107">
        <w:rPr>
          <w:rFonts w:eastAsia="Times New Roman" w:cs="Times New Roman"/>
          <w:lang w:eastAsia="hu-HU"/>
        </w:rPr>
        <w:t>(1) A nevelési-oktatási intézményekben a munkát a tanév, ezen belül a tanítási év keretei között kell megszervezni.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(2) Ha e rendelet másképp nem rendelkezik, a 2021/2022. tanévben a tanítási év első tanítási napja 2021. szeptember 1. (szerda) és utolsó tanítási napja 2022. június 15. (szerda). A tanítási napok száma - ha e rendelet másképp nem rendelkezik - száznyolcvanegy nap. A </w:t>
      </w:r>
      <w:r w:rsidRPr="00F47107">
        <w:rPr>
          <w:rFonts w:eastAsia="Times New Roman" w:cs="Times New Roman"/>
          <w:lang w:eastAsia="hu-HU"/>
        </w:rPr>
        <w:lastRenderedPageBreak/>
        <w:t>nappali oktatás munkarendje szerint működő szakgimnáziumban százhetvenkilenc, gimnáziumban és szakiskolában száznyolcvan nap a tanítási napok száma.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(3) Az iskola utolsó, befejező évfolyamán vagy befejező szakképzési évfolyamán az utolsó tanítási nap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középfokú iskolákban 2022. április 29.,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>a két évfolyamos rész-szakképesítésekre való felkészítést folytató szakiskolákban 2022. május 31.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(4) A tanítási év lezárásának, a tanuló minősítésének, a magasabb évfolyamra lépésnek nem akadálya, ha az iskola a rendkívüli tanítási szünet elrendelése miatt kieső tanítási napokat a nemzeti köznevelésről szóló </w:t>
      </w:r>
      <w:r w:rsidRPr="00F47107">
        <w:rPr>
          <w:rFonts w:eastAsia="Times New Roman" w:cs="Times New Roman"/>
          <w:color w:val="0000FF"/>
          <w:u w:val="single"/>
          <w:lang w:eastAsia="hu-HU"/>
        </w:rPr>
        <w:t>2011. évi C</w:t>
      </w:r>
      <w:bookmarkStart w:id="3" w:name="_GoBack"/>
      <w:bookmarkEnd w:id="3"/>
      <w:r w:rsidRPr="00F47107">
        <w:rPr>
          <w:rFonts w:eastAsia="Times New Roman" w:cs="Times New Roman"/>
          <w:color w:val="0000FF"/>
          <w:u w:val="single"/>
          <w:lang w:eastAsia="hu-HU"/>
        </w:rPr>
        <w:t>XC. törvény</w:t>
      </w:r>
      <w:r w:rsidRPr="00F47107">
        <w:rPr>
          <w:rFonts w:eastAsia="Times New Roman" w:cs="Times New Roman"/>
          <w:lang w:eastAsia="hu-HU"/>
        </w:rPr>
        <w:t xml:space="preserve"> (a továbbiakban: </w:t>
      </w:r>
      <w:hyperlink r:id="rId9" w:anchor="sid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Nkt.</w:t>
        </w:r>
      </w:hyperlink>
      <w:proofErr w:type="gramStart"/>
      <w:r w:rsidRPr="00F47107">
        <w:rPr>
          <w:rFonts w:eastAsia="Times New Roman" w:cs="Times New Roman"/>
          <w:lang w:eastAsia="hu-HU"/>
        </w:rPr>
        <w:t>)</w:t>
      </w:r>
      <w:proofErr w:type="gramEnd"/>
      <w:r w:rsidRPr="00F47107">
        <w:rPr>
          <w:rFonts w:eastAsia="Times New Roman" w:cs="Times New Roman"/>
          <w:lang w:eastAsia="hu-HU"/>
        </w:rPr>
        <w:t xml:space="preserve"> </w:t>
      </w:r>
      <w:hyperlink r:id="rId10" w:anchor="sidlawrefP(30)B(3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30. § (3) bekezdésében</w:t>
        </w:r>
      </w:hyperlink>
      <w:r w:rsidRPr="00F47107">
        <w:rPr>
          <w:rFonts w:eastAsia="Times New Roman" w:cs="Times New Roman"/>
          <w:lang w:eastAsia="hu-HU"/>
        </w:rPr>
        <w:t xml:space="preserve"> meghatározottak szerint nem tudja teljes egészében pótolni. Az iskola indokolt esetben gondoskodik az elmaradt tananyag 2022/2023. tanítási évben történő feldolgozásáról.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(5) A tanítási év lezárását követően az iskola - ha az iskola fenntartója, működtetője azzal egyetért, és az ahhoz szükséges feltételeket biztosítja - a tanulói részére pedagógiai program végrehajtásához nem kapcsolódó foglalkozásokat szervezhet, amelyeken a részvételt a tanuló, kiskorú tanuló esetén a szülő az iskola igazgatójához benyújtott kérelemben kezdeményezheti.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(6) A 2021/2022. évi átmeneti időszak téli közfoglalkoztatásával összefüggő képzési programban felnőttoktatás keretében részt vevő tanulók a 2021/2022. tanévre 2021. szeptember 1-jét követően is beiratkozhatnak.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(7) Az EFOP-3.7.1-17 „Aktívan a tudásért” projektben felnőttoktatás keretében részt vevő tanulók a 2021/2022. tanévre 2021. szeptember 1-jét követően is beiratkozhatnak.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4" w:name="para3"/>
      <w:bookmarkEnd w:id="4"/>
      <w:r w:rsidRPr="00F47107">
        <w:rPr>
          <w:rFonts w:eastAsia="Times New Roman" w:cs="Times New Roman"/>
          <w:b/>
          <w:bCs/>
          <w:lang w:eastAsia="hu-HU"/>
        </w:rPr>
        <w:t xml:space="preserve">3. § </w:t>
      </w:r>
      <w:r w:rsidRPr="00F47107">
        <w:rPr>
          <w:rFonts w:eastAsia="Times New Roman" w:cs="Times New Roman"/>
          <w:lang w:eastAsia="hu-HU"/>
        </w:rPr>
        <w:t>Az alapfokú művészeti iskolákban és a felnőttoktatásban a tanítási év első és utolsó napját - a tanítási év első és utolsó hetének keretében - az igazgató határozza meg.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5" w:name="para4"/>
      <w:bookmarkEnd w:id="5"/>
      <w:r w:rsidRPr="00F47107">
        <w:rPr>
          <w:rFonts w:eastAsia="Times New Roman" w:cs="Times New Roman"/>
          <w:b/>
          <w:bCs/>
          <w:lang w:eastAsia="hu-HU"/>
        </w:rPr>
        <w:t xml:space="preserve">4. § </w:t>
      </w:r>
      <w:r w:rsidRPr="00F47107">
        <w:rPr>
          <w:rFonts w:eastAsia="Times New Roman" w:cs="Times New Roman"/>
          <w:lang w:eastAsia="hu-HU"/>
        </w:rPr>
        <w:t>(1) A tanítási év első féléve 2022. január 21-ig tart. Az iskolák 2022. január 28-ig értesítik a tanulókat, kiskorú tanuló esetén a szülőket az első félévben elért tanulmányi eredményekről. A 3. §-</w:t>
      </w:r>
      <w:proofErr w:type="spellStart"/>
      <w:r w:rsidRPr="00F47107">
        <w:rPr>
          <w:rFonts w:eastAsia="Times New Roman" w:cs="Times New Roman"/>
          <w:lang w:eastAsia="hu-HU"/>
        </w:rPr>
        <w:t>ban</w:t>
      </w:r>
      <w:proofErr w:type="spellEnd"/>
      <w:r w:rsidRPr="00F47107">
        <w:rPr>
          <w:rFonts w:eastAsia="Times New Roman" w:cs="Times New Roman"/>
          <w:lang w:eastAsia="hu-HU"/>
        </w:rPr>
        <w:t xml:space="preserve"> meghatározott esetben az első félév utolsó napját az igazgató állapítja meg. Az értesítést ettől a naptól számított öt munkanapon belül kell megküldeni.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(2) Az első félév és tanítási év utolsó napját, a középiskolában a május-júniusi szóbeli érettségi vizsgaidőszak utolsó napját követő tizenöt napon belül az iskoláknak nevelőtestületi értekezleten el kell végezniük a pedagógiai munka elemzését, értékelését, hatékonyságának vizsgálatát. A nevelőtestületi értekezletről készített jegyzőkönyvet tájékoztatás céljából meg kell küldeni a fenntartónak.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3. Tanítási szünet a tanítási évben, a tanítás nélküli munkanapok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6" w:name="para5"/>
      <w:bookmarkEnd w:id="6"/>
      <w:r w:rsidRPr="00F47107">
        <w:rPr>
          <w:rFonts w:eastAsia="Times New Roman" w:cs="Times New Roman"/>
          <w:b/>
          <w:bCs/>
          <w:lang w:eastAsia="hu-HU"/>
        </w:rPr>
        <w:t xml:space="preserve">5. § </w:t>
      </w:r>
      <w:r w:rsidRPr="00F47107">
        <w:rPr>
          <w:rFonts w:eastAsia="Times New Roman" w:cs="Times New Roman"/>
          <w:lang w:eastAsia="hu-HU"/>
        </w:rPr>
        <w:t xml:space="preserve">A tanítási évben - a tanítási napokon felül - a nevelőtestület a tanév helyi rendjében </w:t>
      </w:r>
      <w:proofErr w:type="gramStart"/>
      <w:r w:rsidRPr="00F47107">
        <w:rPr>
          <w:rFonts w:eastAsia="Times New Roman" w:cs="Times New Roman"/>
          <w:lang w:eastAsia="hu-HU"/>
        </w:rPr>
        <w:t>meghatározott</w:t>
      </w:r>
      <w:proofErr w:type="gramEnd"/>
      <w:r w:rsidRPr="00F47107">
        <w:rPr>
          <w:rFonts w:eastAsia="Times New Roman" w:cs="Times New Roman"/>
          <w:lang w:eastAsia="hu-HU"/>
        </w:rPr>
        <w:t xml:space="preserve"> pedagógiai célra az általános iskolában, a fejlesztő nevelést-oktatást végző iskolában és az alapfokú művészeti iskolában hat, a nappali oktatás munkarendje szerint működő gimnáziumban, szakiskolában és készségfejlesztő iskolában hét, a szakgimnáziumban nyolc munkanapot tanítás nélküli munkanapként használhat fel, amelyből </w:t>
      </w:r>
      <w:r w:rsidRPr="00F47107">
        <w:rPr>
          <w:rFonts w:eastAsia="Times New Roman" w:cs="Times New Roman"/>
          <w:lang w:eastAsia="hu-HU"/>
        </w:rPr>
        <w:lastRenderedPageBreak/>
        <w:t>egy tanítás nélküli munkanap programjáról - a nevelőtestület véleményének kikérésével - az iskolai diákönkormányzat jogosult dönteni, egy tanítás nélküli munkanap kizárólag pályaorientációs célra használható fel.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7" w:name="para6"/>
      <w:bookmarkEnd w:id="7"/>
      <w:r w:rsidRPr="00F47107">
        <w:rPr>
          <w:rFonts w:eastAsia="Times New Roman" w:cs="Times New Roman"/>
          <w:b/>
          <w:bCs/>
          <w:lang w:eastAsia="hu-HU"/>
        </w:rPr>
        <w:t xml:space="preserve">6. § </w:t>
      </w:r>
      <w:r w:rsidRPr="00F47107">
        <w:rPr>
          <w:rFonts w:eastAsia="Times New Roman" w:cs="Times New Roman"/>
          <w:lang w:eastAsia="hu-HU"/>
        </w:rPr>
        <w:t>(1) Az őszi szünet előtti utolsó tanítási nap 2021. október 22. (péntek), a szünet utáni első tanítási nap 2021. november 2. (kedd).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(2) A téli szünet előtti utolsó tanítási nap 2021. december 21. (kedd), a szünet utáni első tanítási nap 2022. január 3. (hétfő).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(3) A tavaszi szünet előtti utolsó tanítási nap 2022. április 13. (szerda), a szünet utáni első tanítási nap 2022. április 20. (szerda).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(4) Az iskola az (1)-(3) bekezdésben meghatározott szünetek mellett - a tanítási év kezdő és befejező napjának változatlanul hagyásával - más időpontban is adhat a tanulóknak szünetet, valamint a szünetek kezdő és befejező napját módosíthatja, ha - az </w:t>
      </w:r>
      <w:r w:rsidRPr="00F47107">
        <w:rPr>
          <w:rFonts w:eastAsia="Times New Roman" w:cs="Times New Roman"/>
          <w:color w:val="0000FF"/>
          <w:u w:val="single"/>
          <w:lang w:eastAsia="hu-HU"/>
        </w:rPr>
        <w:t>Nkt. 30. § (2)</w:t>
      </w:r>
      <w:r w:rsidRPr="00F47107">
        <w:rPr>
          <w:rFonts w:eastAsia="Times New Roman" w:cs="Times New Roman"/>
          <w:lang w:eastAsia="hu-HU"/>
        </w:rPr>
        <w:t xml:space="preserve"> és </w:t>
      </w:r>
      <w:hyperlink r:id="rId11" w:anchor="sidlawrefP(30)B(3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(3) bekezdésében</w:t>
        </w:r>
      </w:hyperlink>
      <w:r w:rsidRPr="00F47107">
        <w:rPr>
          <w:rFonts w:eastAsia="Times New Roman" w:cs="Times New Roman"/>
          <w:lang w:eastAsia="hu-HU"/>
        </w:rPr>
        <w:t xml:space="preserve"> meghatározottak megtartásával - heti pihenőnapon tartott tanítási nappal ehhez a szükséges feltételeket megteremti.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(5) A nemzetiségi oktatásban részt vevő iskolák az (1)-(3) bekezdésben meghatározott időpontoktól eltérhetnek, továbbá a (4) bekezdésben meghatározottak szerint a tanulók részére szünetet adhatnak, ha azt a nemzetiségi hagyományok vagy az anyanemzet hagyományai indokolják.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(6) Az (1)-(5) bekezdésben szabályozott szünetek napjain, ha azok munkanapra esnek, az iskolának - szükség esetén - gondoskodnia kell a tanulók felügyeletéről. A felügyelet megszervezéséről több iskola közösen is gondoskodhat.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4. Az általános iskolai beiratkozás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8" w:name="para7"/>
      <w:bookmarkEnd w:id="8"/>
      <w:r w:rsidRPr="00F47107">
        <w:rPr>
          <w:rFonts w:eastAsia="Times New Roman" w:cs="Times New Roman"/>
          <w:b/>
          <w:bCs/>
          <w:lang w:eastAsia="hu-HU"/>
        </w:rPr>
        <w:t xml:space="preserve">7. § </w:t>
      </w:r>
      <w:r w:rsidRPr="00F47107">
        <w:rPr>
          <w:rFonts w:eastAsia="Times New Roman" w:cs="Times New Roman"/>
          <w:lang w:eastAsia="hu-HU"/>
        </w:rPr>
        <w:t xml:space="preserve">Az </w:t>
      </w:r>
      <w:hyperlink r:id="rId12" w:anchor="sidlawrefP(50)B(7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Nkt. 50. § (7) bekezdése</w:t>
        </w:r>
      </w:hyperlink>
      <w:r w:rsidRPr="00F47107">
        <w:rPr>
          <w:rFonts w:eastAsia="Times New Roman" w:cs="Times New Roman"/>
          <w:lang w:eastAsia="hu-HU"/>
        </w:rPr>
        <w:t xml:space="preserve"> alapján az iskola első évfolyamára a tanköteles tanulókat 2022. április 21-22-én kell beíratni.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5. A vizsgák rendje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9" w:name="para8"/>
      <w:bookmarkEnd w:id="9"/>
      <w:r w:rsidRPr="00F47107">
        <w:rPr>
          <w:rFonts w:eastAsia="Times New Roman" w:cs="Times New Roman"/>
          <w:b/>
          <w:bCs/>
          <w:lang w:eastAsia="hu-HU"/>
        </w:rPr>
        <w:t xml:space="preserve">8. § </w:t>
      </w:r>
      <w:r w:rsidRPr="00F47107">
        <w:rPr>
          <w:rFonts w:eastAsia="Times New Roman" w:cs="Times New Roman"/>
          <w:lang w:eastAsia="hu-HU"/>
        </w:rPr>
        <w:t>(1) Az érettségi vizsgákat az 1. mellékletben foglaltak szerint kell megtartani.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(2) Az alapfokú művészeti iskolákban a tanítási év utolsó három hetében lehet vizsgát szervezni. A vizsga időpontját az iskola igazgatója határozza meg.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(3) A szakgimnáziumban és a szakiskolában a szakmai, képesítő vizsgák időpontját az oktatásért felelős miniszter 2021. szeptember utolsó munkanapjáig teszi közzé a Hivatal honlapján.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6. A középfokú iskolai, a kollégiumi felvételi eljárás, valamint az Arany János Programokkal kapcsolatos feladatok lebonyolításának ütemezése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0" w:name="para9"/>
      <w:bookmarkEnd w:id="10"/>
      <w:r w:rsidRPr="00F47107">
        <w:rPr>
          <w:rFonts w:eastAsia="Times New Roman" w:cs="Times New Roman"/>
          <w:b/>
          <w:bCs/>
          <w:lang w:eastAsia="hu-HU"/>
        </w:rPr>
        <w:t xml:space="preserve">9. § </w:t>
      </w:r>
      <w:r w:rsidRPr="00F47107">
        <w:rPr>
          <w:rFonts w:eastAsia="Times New Roman" w:cs="Times New Roman"/>
          <w:lang w:eastAsia="hu-HU"/>
        </w:rPr>
        <w:t>A középfokú iskolai, a kollégiumi felvételi eljárás, valamint az Arany János Programokkal kapcsolatos feladatok lebonyolításának ütemezését a 2. melléklet tartalmazza.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lastRenderedPageBreak/>
        <w:t>7. A témahetek és a témanap megszervezése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1" w:name="para10"/>
      <w:bookmarkEnd w:id="11"/>
      <w:r w:rsidRPr="00F47107">
        <w:rPr>
          <w:rFonts w:eastAsia="Times New Roman" w:cs="Times New Roman"/>
          <w:b/>
          <w:bCs/>
          <w:lang w:eastAsia="hu-HU"/>
        </w:rPr>
        <w:t xml:space="preserve">10. § </w:t>
      </w:r>
      <w:r w:rsidRPr="00F47107">
        <w:rPr>
          <w:rFonts w:eastAsia="Times New Roman" w:cs="Times New Roman"/>
          <w:lang w:eastAsia="hu-HU"/>
        </w:rPr>
        <w:t xml:space="preserve">(1) A nevelési-oktatási intézmények működéséről és a köznevelési intézmények névhasználatáról szóló </w:t>
      </w:r>
      <w:hyperlink r:id="rId13" w:tgtFrame="_blank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20/2012. (VIII. 31.) EMMI rendelet</w:t>
        </w:r>
      </w:hyperlink>
      <w:r w:rsidRPr="00F47107">
        <w:rPr>
          <w:rFonts w:eastAsia="Times New Roman" w:cs="Times New Roman"/>
          <w:lang w:eastAsia="hu-HU"/>
        </w:rPr>
        <w:t xml:space="preserve"> (a továbbiakban: </w:t>
      </w:r>
      <w:hyperlink r:id="rId14" w:anchor="sid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miniszteri rendelet</w:t>
        </w:r>
      </w:hyperlink>
      <w:r w:rsidRPr="00F47107">
        <w:rPr>
          <w:rFonts w:eastAsia="Times New Roman" w:cs="Times New Roman"/>
          <w:lang w:eastAsia="hu-HU"/>
        </w:rPr>
        <w:t xml:space="preserve">) </w:t>
      </w:r>
      <w:hyperlink r:id="rId15" w:anchor="sidlawrefP(7)B(4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7. § (4) bekezdése</w:t>
        </w:r>
      </w:hyperlink>
      <w:r w:rsidRPr="00F47107">
        <w:rPr>
          <w:rFonts w:eastAsia="Times New Roman" w:cs="Times New Roman"/>
          <w:lang w:eastAsia="hu-HU"/>
        </w:rPr>
        <w:t xml:space="preserve"> szerinti projektoktatást lehetővé tevő témahetek, illetve témanap időpontjai: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„PÉNZ7” pénzügyi és vállalkozói témahét 2022. március 7-11. között,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>Digitális Témahét 2022. április 4-8. között,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c) </w:t>
      </w:r>
      <w:r w:rsidRPr="00F47107">
        <w:rPr>
          <w:rFonts w:eastAsia="Times New Roman" w:cs="Times New Roman"/>
          <w:lang w:eastAsia="hu-HU"/>
        </w:rPr>
        <w:t>Fenntarthatósági Témahét 2022. április 25-29. között,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d) </w:t>
      </w:r>
      <w:r w:rsidRPr="00F47107">
        <w:rPr>
          <w:rFonts w:eastAsia="Times New Roman" w:cs="Times New Roman"/>
          <w:lang w:eastAsia="hu-HU"/>
        </w:rPr>
        <w:t>Magyar Diáksport Napja 2021. szeptember 24.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(2) A nevelési-oktatási intézmény a munkatervében meghatározott módon részt vehet a témahetekhez, témanaphoz kapcsolódó programokon, továbbá a tantervben előírt, az adott témával összefüggő tanítási órákat, valamint egyéb foglalkozásokat a témahét, témanap keretében megszervezheti.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8. Országos mérés, értékelés, szakmai ellenőrzés elrendelése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2" w:name="para11"/>
      <w:bookmarkEnd w:id="12"/>
      <w:r w:rsidRPr="00F47107">
        <w:rPr>
          <w:rFonts w:eastAsia="Times New Roman" w:cs="Times New Roman"/>
          <w:b/>
          <w:bCs/>
          <w:lang w:eastAsia="hu-HU"/>
        </w:rPr>
        <w:t xml:space="preserve">11. § </w:t>
      </w:r>
      <w:r w:rsidRPr="00F47107">
        <w:rPr>
          <w:rFonts w:eastAsia="Times New Roman" w:cs="Times New Roman"/>
          <w:lang w:eastAsia="hu-HU"/>
        </w:rPr>
        <w:t>(1) A tanév során az alábbi három országos mérési program lebonyolítására kerül sor: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 xml:space="preserve">az </w:t>
      </w:r>
      <w:hyperlink r:id="rId16" w:anchor="sidlawrefP(80)B(1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Nkt. 80. § (1) bekezdésében</w:t>
        </w:r>
      </w:hyperlink>
      <w:r w:rsidRPr="00F47107">
        <w:rPr>
          <w:rFonts w:eastAsia="Times New Roman" w:cs="Times New Roman"/>
          <w:lang w:eastAsia="hu-HU"/>
        </w:rPr>
        <w:t xml:space="preserve"> meghatározott, a tanulók szövegértési, matematikai és természettudományi kompetenciáit vizsgáló mérés a 6</w:t>
      </w:r>
      <w:proofErr w:type="gramStart"/>
      <w:r w:rsidRPr="00F47107">
        <w:rPr>
          <w:rFonts w:eastAsia="Times New Roman" w:cs="Times New Roman"/>
          <w:lang w:eastAsia="hu-HU"/>
        </w:rPr>
        <w:t>.,</w:t>
      </w:r>
      <w:proofErr w:type="gramEnd"/>
      <w:r w:rsidRPr="00F47107">
        <w:rPr>
          <w:rFonts w:eastAsia="Times New Roman" w:cs="Times New Roman"/>
          <w:lang w:eastAsia="hu-HU"/>
        </w:rPr>
        <w:t xml:space="preserve"> a 8. és a 10. évfolyamon, a </w:t>
      </w:r>
      <w:hyperlink r:id="rId17" w:anchor="sidlawrefP(79)B(6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miniszteri rendelet 79. § (6) bekezdésének</w:t>
        </w:r>
      </w:hyperlink>
      <w:r w:rsidRPr="00F47107">
        <w:rPr>
          <w:rFonts w:eastAsia="Times New Roman" w:cs="Times New Roman"/>
          <w:lang w:eastAsia="hu-HU"/>
        </w:rPr>
        <w:t xml:space="preserve"> figyelembevételével;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 xml:space="preserve">a </w:t>
      </w:r>
      <w:hyperlink r:id="rId18" w:anchor="sidlawrefP(135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miniszteri rendelet 135. §-</w:t>
        </w:r>
        <w:proofErr w:type="gramStart"/>
        <w:r w:rsidRPr="00F47107">
          <w:rPr>
            <w:rFonts w:eastAsia="Times New Roman" w:cs="Times New Roman"/>
            <w:color w:val="0000FF"/>
            <w:u w:val="single"/>
            <w:lang w:eastAsia="hu-HU"/>
          </w:rPr>
          <w:t>a</w:t>
        </w:r>
        <w:proofErr w:type="gramEnd"/>
      </w:hyperlink>
      <w:r w:rsidRPr="00F47107">
        <w:rPr>
          <w:rFonts w:eastAsia="Times New Roman" w:cs="Times New Roman"/>
          <w:lang w:eastAsia="hu-HU"/>
        </w:rPr>
        <w:t xml:space="preserve"> alapján a két tanítási nyelvű nevelést-oktatást folytató általános iskolában a célnyelvi mérés, amely a hatodik évfolyamon a Közös Európai Referenciakeret (a továbbiakban: </w:t>
      </w:r>
      <w:proofErr w:type="spellStart"/>
      <w:r w:rsidRPr="00F47107">
        <w:rPr>
          <w:rFonts w:eastAsia="Times New Roman" w:cs="Times New Roman"/>
          <w:lang w:eastAsia="hu-HU"/>
        </w:rPr>
        <w:t>KER</w:t>
      </w:r>
      <w:proofErr w:type="spellEnd"/>
      <w:r w:rsidRPr="00F47107">
        <w:rPr>
          <w:rFonts w:eastAsia="Times New Roman" w:cs="Times New Roman"/>
          <w:lang w:eastAsia="hu-HU"/>
        </w:rPr>
        <w:t xml:space="preserve">) szerinti A2 szintű, a nyolcadik évfolyamon a </w:t>
      </w:r>
      <w:proofErr w:type="spellStart"/>
      <w:r w:rsidRPr="00F47107">
        <w:rPr>
          <w:rFonts w:eastAsia="Times New Roman" w:cs="Times New Roman"/>
          <w:lang w:eastAsia="hu-HU"/>
        </w:rPr>
        <w:t>KER</w:t>
      </w:r>
      <w:proofErr w:type="spellEnd"/>
      <w:r w:rsidRPr="00F47107">
        <w:rPr>
          <w:rFonts w:eastAsia="Times New Roman" w:cs="Times New Roman"/>
          <w:lang w:eastAsia="hu-HU"/>
        </w:rPr>
        <w:t xml:space="preserve"> szerinti B1 szintű nyelvtudást méri;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c) </w:t>
      </w:r>
      <w:r w:rsidRPr="00F47107">
        <w:rPr>
          <w:rFonts w:eastAsia="Times New Roman" w:cs="Times New Roman"/>
          <w:lang w:eastAsia="hu-HU"/>
        </w:rPr>
        <w:t xml:space="preserve">a </w:t>
      </w: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 xml:space="preserve">pontban foglalt iskolák célnyelvi mérésben részt vevő tanulóinak kivételével az angol vagy a német nyelvet első idegen nyelvként tanulók körében az idegen nyelvi mérés, amely a hatodik évfolyamon a </w:t>
      </w:r>
      <w:proofErr w:type="spellStart"/>
      <w:r w:rsidRPr="00F47107">
        <w:rPr>
          <w:rFonts w:eastAsia="Times New Roman" w:cs="Times New Roman"/>
          <w:lang w:eastAsia="hu-HU"/>
        </w:rPr>
        <w:t>KER</w:t>
      </w:r>
      <w:proofErr w:type="spellEnd"/>
      <w:r w:rsidRPr="00F47107">
        <w:rPr>
          <w:rFonts w:eastAsia="Times New Roman" w:cs="Times New Roman"/>
          <w:lang w:eastAsia="hu-HU"/>
        </w:rPr>
        <w:t xml:space="preserve"> szerinti A1 szintű, a nyolcadik évfolyamon a </w:t>
      </w:r>
      <w:proofErr w:type="spellStart"/>
      <w:r w:rsidRPr="00F47107">
        <w:rPr>
          <w:rFonts w:eastAsia="Times New Roman" w:cs="Times New Roman"/>
          <w:lang w:eastAsia="hu-HU"/>
        </w:rPr>
        <w:t>KER</w:t>
      </w:r>
      <w:proofErr w:type="spellEnd"/>
      <w:r w:rsidRPr="00F47107">
        <w:rPr>
          <w:rFonts w:eastAsia="Times New Roman" w:cs="Times New Roman"/>
          <w:lang w:eastAsia="hu-HU"/>
        </w:rPr>
        <w:t xml:space="preserve"> szerinti A2 szintű nyelvtudást méri.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(2) A méréseken az egyes érintett tanulók két mérési napon vesznek részt. A tanuló számára az egyik mérési napon az (1) bekezdés </w:t>
      </w:r>
      <w:r w:rsidRPr="00F47107">
        <w:rPr>
          <w:rFonts w:eastAsia="Times New Roman" w:cs="Times New Roman"/>
          <w:i/>
          <w:iCs/>
          <w:lang w:eastAsia="hu-HU"/>
        </w:rPr>
        <w:t xml:space="preserve">a) </w:t>
      </w:r>
      <w:r w:rsidRPr="00F47107">
        <w:rPr>
          <w:rFonts w:eastAsia="Times New Roman" w:cs="Times New Roman"/>
          <w:lang w:eastAsia="hu-HU"/>
        </w:rPr>
        <w:t xml:space="preserve">pontjában </w:t>
      </w:r>
      <w:proofErr w:type="gramStart"/>
      <w:r w:rsidRPr="00F47107">
        <w:rPr>
          <w:rFonts w:eastAsia="Times New Roman" w:cs="Times New Roman"/>
          <w:lang w:eastAsia="hu-HU"/>
        </w:rPr>
        <w:t>szereplő mérések</w:t>
      </w:r>
      <w:proofErr w:type="gramEnd"/>
      <w:r w:rsidRPr="00F47107">
        <w:rPr>
          <w:rFonts w:eastAsia="Times New Roman" w:cs="Times New Roman"/>
          <w:lang w:eastAsia="hu-HU"/>
        </w:rPr>
        <w:t xml:space="preserve"> közül a szövegértés és a matematika mérést, a másik mérési napon a természettudományi mérést és az adott tanulóra vonatkozó, az (1) bekezdés </w:t>
      </w: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 xml:space="preserve">vagy </w:t>
      </w:r>
      <w:r w:rsidRPr="00F47107">
        <w:rPr>
          <w:rFonts w:eastAsia="Times New Roman" w:cs="Times New Roman"/>
          <w:i/>
          <w:iCs/>
          <w:lang w:eastAsia="hu-HU"/>
        </w:rPr>
        <w:t xml:space="preserve">c) </w:t>
      </w:r>
      <w:r w:rsidRPr="00F47107">
        <w:rPr>
          <w:rFonts w:eastAsia="Times New Roman" w:cs="Times New Roman"/>
          <w:lang w:eastAsia="hu-HU"/>
        </w:rPr>
        <w:t>pontja szerinti mérést kell a Hivatal által meghatározott eljárásrend szerint lebonyolítani.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(3) A méréseket az iskoláknak a Hivatal által meghatározott ütemezés szerint,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a 6. évfolyamon 2022. május 18-31.,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>a 8. évfolyamon 2022. május 4-17.,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lastRenderedPageBreak/>
        <w:t xml:space="preserve">c) </w:t>
      </w:r>
      <w:r w:rsidRPr="00F47107">
        <w:rPr>
          <w:rFonts w:eastAsia="Times New Roman" w:cs="Times New Roman"/>
          <w:lang w:eastAsia="hu-HU"/>
        </w:rPr>
        <w:t>a 10. évfolyamon 2022. április 20. - május 3.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lang w:eastAsia="hu-HU"/>
        </w:rPr>
        <w:t>közötti</w:t>
      </w:r>
      <w:proofErr w:type="gramEnd"/>
      <w:r w:rsidRPr="00F47107">
        <w:rPr>
          <w:rFonts w:eastAsia="Times New Roman" w:cs="Times New Roman"/>
          <w:lang w:eastAsia="hu-HU"/>
        </w:rPr>
        <w:t xml:space="preserve"> időszakban kell lebonyolítaniuk. Az adott tanuló számára a két mérési nap sorrendje nem kötött, azt - a helyi sajátosságoknak megfelelően - az intézmény vezetője határozza meg.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(4) A méréseket a Hivatal által elkészített - és informatikai rendszerének közvetítésével az iskolák számára elérhetővé tett - digitális mérőeszközök alkalmazásával kell lebonyolítani.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(5) Az (1) bekezdésben meghatározott mérések előkészítéséhez szükséges, a Hivatal által meghatározott adatokat az iskolák a Hivatal részére 2022. március 11-ig küldik meg, a Hivatal által meghatározott módon.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(6) Azok az iskolák, amelyekben a matematika tantárgyat az adott nemzetiség nyelvén oktatják, az (5) bekezdésben szereplő adatszolgáltatás során egyénenként jelzik, hogy melyek azok a tanulók, akik számára a matematika mérőeszközt a Hivatal a nemzetiség nyelvén biztosítsa. Ezek a tanulók a </w:t>
      </w:r>
      <w:proofErr w:type="gramStart"/>
      <w:r w:rsidRPr="00F47107">
        <w:rPr>
          <w:rFonts w:eastAsia="Times New Roman" w:cs="Times New Roman"/>
          <w:lang w:eastAsia="hu-HU"/>
        </w:rPr>
        <w:t>matematika mérést</w:t>
      </w:r>
      <w:proofErr w:type="gramEnd"/>
      <w:r w:rsidRPr="00F47107">
        <w:rPr>
          <w:rFonts w:eastAsia="Times New Roman" w:cs="Times New Roman"/>
          <w:lang w:eastAsia="hu-HU"/>
        </w:rPr>
        <w:t xml:space="preserve"> a nemzetiség nyelvén teljesítik.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(7) A Hivatal a mérési eredmények alapján az (1) bekezdésben </w:t>
      </w:r>
      <w:proofErr w:type="gramStart"/>
      <w:r w:rsidRPr="00F47107">
        <w:rPr>
          <w:rFonts w:eastAsia="Times New Roman" w:cs="Times New Roman"/>
          <w:lang w:eastAsia="hu-HU"/>
        </w:rPr>
        <w:t>szereplő mérésekről</w:t>
      </w:r>
      <w:proofErr w:type="gramEnd"/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F47107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F47107">
        <w:rPr>
          <w:rFonts w:eastAsia="Times New Roman" w:cs="Times New Roman"/>
          <w:i/>
          <w:iCs/>
          <w:lang w:eastAsia="hu-HU"/>
        </w:rPr>
        <w:t xml:space="preserve">) </w:t>
      </w:r>
      <w:r w:rsidRPr="00F47107">
        <w:rPr>
          <w:rFonts w:eastAsia="Times New Roman" w:cs="Times New Roman"/>
          <w:lang w:eastAsia="hu-HU"/>
        </w:rPr>
        <w:t>2023. február 28-ig intézményi és fenntartói szintű elemzéseket készít, és azokat a honlapján nyilvánosságra hozza;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 xml:space="preserve">2023. február 28-ig tanulói szintű elemzéseket készít, és azokat a honlapján az </w:t>
      </w:r>
      <w:hyperlink r:id="rId19" w:anchor="sidlawrefP(80)B(3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Nkt. 80. § (3) bekezdésében</w:t>
        </w:r>
      </w:hyperlink>
      <w:r w:rsidRPr="00F47107">
        <w:rPr>
          <w:rFonts w:eastAsia="Times New Roman" w:cs="Times New Roman"/>
          <w:lang w:eastAsia="hu-HU"/>
        </w:rPr>
        <w:t xml:space="preserve"> szereplő mérési azonosító felhasználásával honlapján hozzáférhetővé teszi;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i/>
          <w:iCs/>
          <w:lang w:eastAsia="hu-HU"/>
        </w:rPr>
        <w:t xml:space="preserve">c) </w:t>
      </w:r>
      <w:r w:rsidRPr="00F47107">
        <w:rPr>
          <w:rFonts w:eastAsia="Times New Roman" w:cs="Times New Roman"/>
          <w:lang w:eastAsia="hu-HU"/>
        </w:rPr>
        <w:t>2023. március 31-ig országos elemzést készít, és megküldi az oktatásért felelős miniszternek.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(8) A Hivatal az (1) bekezdés </w:t>
      </w:r>
      <w:r w:rsidRPr="00F47107">
        <w:rPr>
          <w:rFonts w:eastAsia="Times New Roman" w:cs="Times New Roman"/>
          <w:i/>
          <w:iCs/>
          <w:lang w:eastAsia="hu-HU"/>
        </w:rPr>
        <w:t xml:space="preserve">b) </w:t>
      </w:r>
      <w:r w:rsidRPr="00F47107">
        <w:rPr>
          <w:rFonts w:eastAsia="Times New Roman" w:cs="Times New Roman"/>
          <w:lang w:eastAsia="hu-HU"/>
        </w:rPr>
        <w:t xml:space="preserve">és </w:t>
      </w:r>
      <w:r w:rsidRPr="00F47107">
        <w:rPr>
          <w:rFonts w:eastAsia="Times New Roman" w:cs="Times New Roman"/>
          <w:i/>
          <w:iCs/>
          <w:lang w:eastAsia="hu-HU"/>
        </w:rPr>
        <w:t xml:space="preserve">c) </w:t>
      </w:r>
      <w:r w:rsidRPr="00F47107">
        <w:rPr>
          <w:rFonts w:eastAsia="Times New Roman" w:cs="Times New Roman"/>
          <w:lang w:eastAsia="hu-HU"/>
        </w:rPr>
        <w:t>pontjában meghatározott mérések intézményi szintű, az adott nyelvi szint teljesítéséről szóló összesített adatait 2022. június 30-ig a honlapján nyilvánosságra hozza.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(9) A tanuló eltérő ütemű fejlődéséből, fejlesztési szükségleteiből fakadó egyéni hátrányok csökkentése, továbbá az alapkészségek sikeres megalapozása és kibontakoztatása érdekében az általános iskolák 2021. október 15-ig felmérik azon első évfolyamos tanulóik körét, akiknél az óvodai jelzések vagy a tanév kezdete óta szerzett tapasztalatok alapján az alapkészségek fejlesztését hangsúlyosabban kell a későbbiekben támogatni, és ezért a pedagógus indokoltnak látja az azt elősegítő pedagógiai tevékenység megalapozásához a Diagnosztikus fejlődésvizsgáló rendszer alkalmazását. Az általános iskolák 2021. november 5-ig a Hivatal által meghatározott módon jelentik a Hivatalnak az érintett tanulók létszámát. Az e bekezdésben meghatározott vizsgálatokat az általános iskoláknak a kiválasztott tanulókkal 2021. december 10-ig kell elvégezniük.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 xml:space="preserve">(10) Az általános iskolai feladatellátásban részt vevő nevelési-oktatási intézmények a nyolcadik évfolyamos tanulóik számára - a felnőttoktatásban tanulók kivételével - 2021. szeptember 20. és 2021. október 11. között megszervezik az </w:t>
      </w:r>
      <w:hyperlink r:id="rId20" w:anchor="sidlawrefP(80)B(1a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Nkt. 80. § (1a) bekezdése</w:t>
        </w:r>
      </w:hyperlink>
      <w:r w:rsidRPr="00F47107">
        <w:rPr>
          <w:rFonts w:eastAsia="Times New Roman" w:cs="Times New Roman"/>
          <w:lang w:eastAsia="hu-HU"/>
        </w:rPr>
        <w:t xml:space="preserve"> alapján a pályaválasztást megalapozó kompetenciák vizsgálatát a Hivatal által elkészített - és informatikai rendszerének közvetítésével az iskolák számára elérhetővé tett - digitális mérő- és támogatóeszközökkel, a Hivatal által kiadott eljárásrend alkalmazásával.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lastRenderedPageBreak/>
        <w:t xml:space="preserve">(11) A 2021/2022. tanévben az </w:t>
      </w:r>
      <w:hyperlink r:id="rId21" w:anchor="sidlawrefP(80)B(9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Nkt. 80. § (9) bekezdése</w:t>
        </w:r>
      </w:hyperlink>
      <w:r w:rsidRPr="00F47107">
        <w:rPr>
          <w:rFonts w:eastAsia="Times New Roman" w:cs="Times New Roman"/>
          <w:lang w:eastAsia="hu-HU"/>
        </w:rPr>
        <w:t xml:space="preserve"> és a szakképzésről szóló </w:t>
      </w:r>
      <w:hyperlink r:id="rId22" w:anchor="sidlawrefP(35)B(5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2019. évi LXXX. törvény 35. § (5) bekezdése</w:t>
        </w:r>
      </w:hyperlink>
      <w:r w:rsidRPr="00F47107">
        <w:rPr>
          <w:rFonts w:eastAsia="Times New Roman" w:cs="Times New Roman"/>
          <w:lang w:eastAsia="hu-HU"/>
        </w:rPr>
        <w:t xml:space="preserve"> alapján országos mérés, értékelés keretében a tanulók fizikai állapotának és edzettségének vizsgálatát az iskolák - az 1-4. évfolyamon, valamint a felnőttoktatásban tanulók kivételével - a nappali rendszerű iskolai oktatásban részt vevő tanulók esetében megszervezik. A mérés eredményeit az érintett iskolák 2022. június 15-ig feltöltik a Nemzeti Egységes Tanulói Fittségi Teszt rendszerbe.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3" w:name="para12"/>
      <w:bookmarkEnd w:id="13"/>
      <w:r w:rsidRPr="00F47107">
        <w:rPr>
          <w:rFonts w:eastAsia="Times New Roman" w:cs="Times New Roman"/>
          <w:b/>
          <w:bCs/>
          <w:lang w:eastAsia="hu-HU"/>
        </w:rPr>
        <w:t xml:space="preserve">12. § </w:t>
      </w:r>
      <w:r w:rsidRPr="00F47107">
        <w:rPr>
          <w:rFonts w:eastAsia="Times New Roman" w:cs="Times New Roman"/>
          <w:lang w:eastAsia="hu-HU"/>
        </w:rPr>
        <w:t xml:space="preserve">(1) 2021. október 1. és 2022. május 31. között országos pedagógiai-szakmai ellenőrzés keretében meg kell vizsgálni a </w:t>
      </w:r>
      <w:hyperlink r:id="rId23" w:anchor="sidlawrefP(80)B(4)" w:history="1">
        <w:r w:rsidRPr="00F47107">
          <w:rPr>
            <w:rFonts w:eastAsia="Times New Roman" w:cs="Times New Roman"/>
            <w:color w:val="0000FF"/>
            <w:u w:val="single"/>
            <w:lang w:eastAsia="hu-HU"/>
          </w:rPr>
          <w:t>miniszteri rendelet 80. § (4) bekezdése</w:t>
        </w:r>
      </w:hyperlink>
      <w:r w:rsidRPr="00F47107">
        <w:rPr>
          <w:rFonts w:eastAsia="Times New Roman" w:cs="Times New Roman"/>
          <w:lang w:eastAsia="hu-HU"/>
        </w:rPr>
        <w:t xml:space="preserve"> szerinti fenntartói intézkedési tervben foglaltak végrehajtását és dokumentálását.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(2) Az (1) bekezdés szerinti ellenőrzést a Hivatal folytatja le. Az ellenőrzésről készült jelentést a Hivatal 2022. augusztus 31-ig küldi meg az oktatásért felelős miniszter részére.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(3) 2022. január 3. és 2022. március 31. között szakmai ellenőrzés keretében meg kell vizsgálni a Hivatal által kiválasztott nevelési-oktatási intézményekben az egyéni munkarenddel rendelkező tanulók osztályozóvizsga-kötelezettségének teljesítését és dokumentálását.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lang w:eastAsia="hu-HU"/>
        </w:rPr>
        <w:t>(4) A (3) bekezdés szerinti ellenőrzést a Hivatal folytatja le. Az ellenőrzésről készült jelentést a Hivatal 2022. június 30-ig küldi meg az oktatásért felelős miniszter részére.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F47107">
        <w:rPr>
          <w:rFonts w:eastAsia="Times New Roman" w:cs="Times New Roman"/>
          <w:b/>
          <w:bCs/>
          <w:i/>
          <w:iCs/>
          <w:lang w:eastAsia="hu-HU"/>
        </w:rPr>
        <w:t>9. Záró rendelkezések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4" w:name="para13"/>
      <w:bookmarkEnd w:id="14"/>
      <w:r w:rsidRPr="00F47107">
        <w:rPr>
          <w:rFonts w:eastAsia="Times New Roman" w:cs="Times New Roman"/>
          <w:b/>
          <w:bCs/>
          <w:lang w:eastAsia="hu-HU"/>
        </w:rPr>
        <w:t xml:space="preserve">13. § </w:t>
      </w:r>
      <w:r w:rsidRPr="00F47107">
        <w:rPr>
          <w:rFonts w:eastAsia="Times New Roman" w:cs="Times New Roman"/>
          <w:lang w:eastAsia="hu-HU"/>
        </w:rPr>
        <w:t>Ez a rendelet 2021. szeptember 1-jén lép hatályba.</w:t>
      </w:r>
    </w:p>
    <w:p w:rsidR="00F47107" w:rsidRPr="00F47107" w:rsidRDefault="00F47107" w:rsidP="00F47107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5" w:name="para14"/>
      <w:bookmarkEnd w:id="15"/>
      <w:r w:rsidRPr="00F47107">
        <w:rPr>
          <w:rFonts w:eastAsia="Times New Roman" w:cs="Times New Roman"/>
          <w:b/>
          <w:bCs/>
          <w:lang w:eastAsia="hu-HU"/>
        </w:rPr>
        <w:t xml:space="preserve">14. § </w:t>
      </w:r>
      <w:r w:rsidRPr="00F47107">
        <w:rPr>
          <w:rFonts w:eastAsia="Times New Roman" w:cs="Times New Roman"/>
          <w:lang w:eastAsia="hu-HU"/>
        </w:rPr>
        <w:t>Ez a rendelet 2023. június 1-jén hatályát veszti.</w:t>
      </w:r>
    </w:p>
    <w:p w:rsidR="00F47107" w:rsidRDefault="00F47107"/>
    <w:sectPr w:rsidR="00F4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07"/>
    <w:rsid w:val="000D0009"/>
    <w:rsid w:val="0079714E"/>
    <w:rsid w:val="007B36C7"/>
    <w:rsid w:val="008D70C9"/>
    <w:rsid w:val="009C5FDD"/>
    <w:rsid w:val="00AE6707"/>
    <w:rsid w:val="00CA01B0"/>
    <w:rsid w:val="00D246B5"/>
    <w:rsid w:val="00D565C8"/>
    <w:rsid w:val="00DB09A9"/>
    <w:rsid w:val="00E6397C"/>
    <w:rsid w:val="00F47107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73C9-6ADF-4D08-A24A-DA897B0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HAnsi"/>
        <w:sz w:val="24"/>
        <w:szCs w:val="24"/>
        <w:lang w:val="hu-H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6B5"/>
    <w:pPr>
      <w:spacing w:after="200"/>
      <w:ind w:firstLine="0"/>
      <w:jc w:val="left"/>
    </w:pPr>
  </w:style>
  <w:style w:type="paragraph" w:styleId="Cmsor1">
    <w:name w:val="heading 1"/>
    <w:basedOn w:val="Norml"/>
    <w:next w:val="Norml"/>
    <w:link w:val="Cmsor1Char"/>
    <w:uiPriority w:val="9"/>
    <w:qFormat/>
    <w:rsid w:val="00DB09A9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i/>
      <w:color w:val="365F91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B09A9"/>
    <w:pPr>
      <w:keepNext/>
      <w:keepLines/>
      <w:spacing w:before="160" w:after="120"/>
      <w:outlineLvl w:val="1"/>
    </w:pPr>
    <w:rPr>
      <w:rFonts w:eastAsiaTheme="majorEastAsia" w:cstheme="majorBidi"/>
      <w:b/>
      <w:i/>
      <w:color w:val="365F91" w:themeColor="accent1" w:themeShade="BF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9714E"/>
    <w:pPr>
      <w:keepNext/>
      <w:keepLines/>
      <w:spacing w:after="0" w:line="360" w:lineRule="auto"/>
      <w:outlineLvl w:val="2"/>
    </w:pPr>
    <w:rPr>
      <w:rFonts w:eastAsia="Times New Roman" w:cs="Times New Roman"/>
      <w:noProof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09A9"/>
    <w:rPr>
      <w:rFonts w:eastAsiaTheme="majorEastAsia" w:cstheme="majorBidi"/>
      <w:b/>
      <w:i/>
      <w:color w:val="365F91" w:themeColor="accent1" w:themeShade="BF"/>
      <w:sz w:val="28"/>
      <w:szCs w:val="32"/>
    </w:rPr>
  </w:style>
  <w:style w:type="paragraph" w:styleId="Listaszerbekezds">
    <w:name w:val="List Paragraph"/>
    <w:basedOn w:val="Norml"/>
    <w:uiPriority w:val="34"/>
    <w:qFormat/>
    <w:rsid w:val="00D565C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B09A9"/>
    <w:rPr>
      <w:rFonts w:eastAsiaTheme="majorEastAsia" w:cstheme="majorBidi"/>
      <w:b/>
      <w:i/>
      <w:color w:val="365F91" w:themeColor="accent1" w:themeShade="BF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714E"/>
    <w:rPr>
      <w:rFonts w:eastAsia="Times New Roman" w:cs="Times New Roman"/>
      <w:noProof/>
      <w:color w:val="4F81BD" w:themeColor="accent1"/>
    </w:rPr>
  </w:style>
  <w:style w:type="character" w:customStyle="1" w:styleId="lawnum">
    <w:name w:val="lawnum"/>
    <w:basedOn w:val="Bekezdsalapbettpusa"/>
    <w:rsid w:val="00F47107"/>
  </w:style>
  <w:style w:type="character" w:customStyle="1" w:styleId="desc">
    <w:name w:val="desc"/>
    <w:basedOn w:val="Bekezdsalapbettpusa"/>
    <w:rsid w:val="00F47107"/>
  </w:style>
  <w:style w:type="character" w:styleId="Hiperhivatkozs">
    <w:name w:val="Hyperlink"/>
    <w:basedOn w:val="Bekezdsalapbettpusa"/>
    <w:uiPriority w:val="99"/>
    <w:semiHidden/>
    <w:unhideWhenUsed/>
    <w:rsid w:val="00F47107"/>
    <w:rPr>
      <w:color w:val="0000FF"/>
      <w:u w:val="single"/>
    </w:rPr>
  </w:style>
  <w:style w:type="character" w:customStyle="1" w:styleId="chapter1">
    <w:name w:val="chapter1"/>
    <w:basedOn w:val="Bekezdsalapbettpusa"/>
    <w:rsid w:val="00F4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100190.TV" TargetMode="External"/><Relationship Id="rId13" Type="http://schemas.openxmlformats.org/officeDocument/2006/relationships/hyperlink" Target="https://optijus.hu/optijus/lawtext/A1200020.EMM/tvalid/1920.1.1./tsid/" TargetMode="External"/><Relationship Id="rId18" Type="http://schemas.openxmlformats.org/officeDocument/2006/relationships/hyperlink" Target="https://optijus.hu/optijus/lawtext/A1200020.EM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tijus.hu/optijus/lawtext/A1100190.TV" TargetMode="External"/><Relationship Id="rId7" Type="http://schemas.openxmlformats.org/officeDocument/2006/relationships/hyperlink" Target="https://optijus.hu/optijus/lawtext/A1100190.TV" TargetMode="External"/><Relationship Id="rId12" Type="http://schemas.openxmlformats.org/officeDocument/2006/relationships/hyperlink" Target="https://optijus.hu/optijus/lawtext/A1100190.TV" TargetMode="External"/><Relationship Id="rId17" Type="http://schemas.openxmlformats.org/officeDocument/2006/relationships/hyperlink" Target="https://optijus.hu/optijus/lawtext/A1200020.EM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ptijus.hu/optijus/lawtext/A1100190.TV" TargetMode="External"/><Relationship Id="rId20" Type="http://schemas.openxmlformats.org/officeDocument/2006/relationships/hyperlink" Target="https://optijus.hu/optijus/lawtext/A1100190.TV" TargetMode="Externa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A1100190.TV" TargetMode="External"/><Relationship Id="rId11" Type="http://schemas.openxmlformats.org/officeDocument/2006/relationships/hyperlink" Target="https://optijus.hu/optijus/lawtext/A1100190.TV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ptijus.hu/optijus/lawtext/A1100190.TV" TargetMode="External"/><Relationship Id="rId15" Type="http://schemas.openxmlformats.org/officeDocument/2006/relationships/hyperlink" Target="https://optijus.hu/optijus/lawtext/A1200020.EMM" TargetMode="External"/><Relationship Id="rId23" Type="http://schemas.openxmlformats.org/officeDocument/2006/relationships/hyperlink" Target="https://optijus.hu/optijus/lawtext/A1200020.EMM" TargetMode="External"/><Relationship Id="rId10" Type="http://schemas.openxmlformats.org/officeDocument/2006/relationships/hyperlink" Target="https://optijus.hu/optijus/lawtext/A1100190.TV" TargetMode="External"/><Relationship Id="rId19" Type="http://schemas.openxmlformats.org/officeDocument/2006/relationships/hyperlink" Target="https://optijus.hu/optijus/lawtext/A1100190.TV" TargetMode="External"/><Relationship Id="rId4" Type="http://schemas.openxmlformats.org/officeDocument/2006/relationships/hyperlink" Target="https://optijus.hu/optijus/lawtext/A1100190.TV" TargetMode="External"/><Relationship Id="rId9" Type="http://schemas.openxmlformats.org/officeDocument/2006/relationships/hyperlink" Target="https://optijus.hu/optijus/lawtext/A1100190.TV" TargetMode="External"/><Relationship Id="rId14" Type="http://schemas.openxmlformats.org/officeDocument/2006/relationships/hyperlink" Target="https://optijus.hu/optijus/lawtext/A1200020.EMM" TargetMode="External"/><Relationship Id="rId22" Type="http://schemas.openxmlformats.org/officeDocument/2006/relationships/hyperlink" Target="https://optijus.hu/optijus/lawtext/A1900080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á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13843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Petróczi</dc:creator>
  <cp:keywords/>
  <dc:description/>
  <cp:lastModifiedBy>Gábor Petróczi</cp:lastModifiedBy>
  <cp:revision>2</cp:revision>
  <dcterms:created xsi:type="dcterms:W3CDTF">2021-07-21T17:29:00Z</dcterms:created>
  <dcterms:modified xsi:type="dcterms:W3CDTF">2021-07-21T17:29:00Z</dcterms:modified>
</cp:coreProperties>
</file>